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1"/>
        <w:gridCol w:w="2320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odetniesz jej dłoń – nie zlituje się twoje oko.*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GK i G lm. Kara ta w ramach lex talionis sugeruje, że kobieta mogła trwale uszkodzić przyrodzenie mężczyzny, tak że adekwatną szkodą mogło być pozbawienie jej dłoni, szczególnie że euf. dla męskich organów rozrodczych jest w SP ręka, zob. &lt;x&gt;260 5:4&lt;/x&gt;; &lt;x&gt;290 57:8&lt;/x&gt;. Wskazanie na rękę jako ekwiwalent może też sugerować poważną wysokość odszkodowania, por. &lt;x&gt;20 21:22&lt;/x&gt;. Nie ma żadnych świadectw, aby to prawo, jak i prawo dotyczące nieposłusznego syna (&lt;x&gt;50 21:18-21&lt;/x&gt;) lub nieczystości przedmałżeńskiej (&lt;x&gt;50 22:20-21&lt;/x&gt;) było kiedykolwiek zastosowane.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2024-04-28T17:47:19Z</dcterms:modified>
</cp:coreProperties>
</file>