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2024-04-26T07:55:40Z</dcterms:modified>
</cp:coreProperties>
</file>