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Rodzaju 5:7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763"/>
        <w:gridCol w:w="398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dożył Set po ― zrodzeniu jego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 xml:space="preserve"> [syna]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― Enosza siedemset i siedem lat i zrodził synów i córki.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וַֽיְחִי־ שֵׁ֗ת אַֽחֲרֵי֙ הוֹלִיד֣וֹ אֶת־ אֱנ֔וֹשׁ שֶׁ֣בַע שָׁנִ֔ים וּשְׁמֹנֶ֥ה מֵא֖וֹת שָׁנָ֑ה וַיּ֥וֹלֶד בָּנִ֖ים וּבָנֽוֹת׃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 swym zrodzeniu Enosza Set żył osiemset siedem lat i zrodził synów i córki.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settings" Target="settings.xml" />
	<Relationship Id="rId2" Type="http://schemas.openxmlformats.org/officeDocument/2006/relationships/webSettings" Target="webSettings.xml" />
	<Relationship Id="rId3" Type="http://schemas.openxmlformats.org/officeDocument/2006/relationships/fontTable" Target="fontTable.xml" />
	<Relationship Id="rId4" Type="http://schemas.openxmlformats.org/officeDocument/2006/relationships/theme" Target="theme/theme1.xml" />
	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2025-02-05T14:10:21Z</dcterms:modified>
</cp:coreProperties>
</file>