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12:15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924"/>
        <w:gridCol w:w="38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bój się, córko Syjonu! Oto ― Król twój przychodzi, siedzący na źrebięciu oślicy ―.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bój się córko Syjonu oto Król twój przychodzi siedząc na źrebięciu oślicy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bój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córko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Syjonu!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twój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król,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siedząc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źrebięciu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oślicy.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Nie bój się, córko Syjonu! Oto król twój przychodzi, siedzący na źrebięciu osła.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bój się córko Syjonu oto Król twój przychodzi siedząc na źrebięciu oślicy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Lub: Przestań się bać.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Córka Syjonu : idiom określający Jerozolimę i jej mieszkańców (J 12:15L.).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Iz 62:11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Osiołek był symbolem pokory, pokoju i dynastii Dawida.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t>Za 9:9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2025-02-05T13:57:48Z</dcterms:modified>
</cp:coreProperties>
</file>