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2:20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330"/>
        <w:gridCol w:w="441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karcącym nierozsądnych, nauczycielem niemowląt, mającym ―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[właściwą]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formę ― poznania i ― prawdy w ― Prawie.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karcącym nierozsądnych nauczycielem niemowląt mający formę poznania i prawdy w Prawie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wychowawcą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niemądrych,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nauczycielem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niemowląt,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mającym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wyraz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poznania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prawdy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–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wychowawcą nierozsądnych, nauczycielem niemowlęcych, mającym ukształtowanie poznania i prawdy w Prawie. -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karcącym nierozsądnych nauczycielem niemowląt mający formę poznania i prawdy w Prawie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2Tm 3:15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2025-02-05T14:06:29Z</dcterms:modified>
</cp:coreProperties>
</file>