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25:23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wszyscy dowódcy wojska, oni i (ich) ludzie, usłyszeli, że król Babilonu ustanowił Gedaliasza (namiestnikiem), przybyli do Gedaliasza do Mispy. Byli to Ismael,* syn Netaniasza,** i Jochanan,*** syn Kareacha,**** i Serajasz,***** syn Tanchumeta,****** Netofczyk, i Jaazaniasz,******* syn Maakatczyka – oni i ich ludzie.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wszyscy dowódcy wojska oraz ich ludzie usłyszeli, że król Babilonu ustanowił Gedaliasza namiestnikiem, przybyli do niego do Mispy. Byli to Ismael, syn Netaniasza, Jochanan, syn Kareacha, Serajasz, syn Tanchumeta, Netofczyk, i Jaazaniasz, syn Maakatczyka — oni i ich ludzie.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wszyscy dowódcy wojska usłyszeli, oni i ich ludzie, że król Babilonu ustanowił Gedaliasza namiestnikiem, przyszli do Gedaliasza do Mispy. Byli to: Izmael, syn Netaniasza, Jochanan, syn Kareacha, Serajasz, syn Tanchumeta Netofatyta, i Jaazaniasz, syn Maakatczyka, oni i ich ludzie.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usłyszeli wszyscy hetmanowie żołnierscy, sami i mężowie, którzy z nimi byli, to jest, że król Babiloński postanowił Godoliasza, przyszli do Godoliasza do Masfa: Ismael, syn Nataniasza, i Jehanan, syn Karee, i Saraja, syn Tanehumet, Netofatczyk, i Jezoniasz, syn Maachaty, sami i towarzysze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dowódcy wojskowi i ich ludzie dowiedzieli się, że król babiloński wyznaczył na zarządcę Godoliasza, i przyszli do Godoliasza, do Mispa, mianowicie: Izmael, syn Netaniasza, Jochanan, syn Kareacha, Serajasz, syn Tanchumeta z Netofy, Jaazaniasz, syn Maakatyty - oni wraz ze swoimi ludźmi.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wszyscy dowódcy wojska i ich ludzie dowiedzieli się, że król ustanowił Gedaliasza naczelnikiem, udali się do Gedaliasza do Mispy; a byli to Ismael, syn Netaniasza, Jochanan, syn Kareacha, Serajasz, syn Tanchumeta z Netofy, i Jaazaniasz, syn Maalatczyka, wraz ze swoimi ludźmi.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dowódcy wojsk wraz ze swoimi ludźmi usłyszeli, że król babiloński ustanowił zarządcą Gedaliasza. Przybyli więc do niego do Mispy: Izmael, syn Netaniasza, i Jochanan, syn Kareacha, i Serajasz, syn Tanchumeta z Netofy, i Jaazaniasz, syn Maakatyty – oni właśnie wraz ze swoimi ludźmi.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wszyscy dowódcy wojskowi i ich ludzie dowiedzieli się, że król babiloński ustanowił zarządcą Godoliasza, przybyli do niego do Mispy. Byli to: Izmael, syn Netaniasza, Jochanan, syn Kareacha, Serajasz, syn Tanchumeta z Netofy, Jaazaniasz, syn Maakatyty - każdy ze swoimi ludźmi.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wszyscy dowódcy wojska usłyszeli - oni i mężowie - że król babiloński postawił na czele Godoliasza, przyszli do Godoliasza do Micpa, Jiszmael, syn Netami, Jochanan, syn Kareacha, Serajasz, syn Tanchumeta Netofatczyka, Jaazanjahu, syn Maakatiego, oni i ich ludzie - przyszli do Godoliasza do Micpa.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wszyscy dowódcy wojsk – oni i ich ludzie – usłyszeli, że król Babilonu ustanowił Gedaliasza, niezwłocznie przybyli do Gedaliasza do Micpy, mianowicie Ismael, syn Netaniasza, i Jochanan, syn Kareacha, i Serajasz, syn Tanchumeta Netofatyty, i Jaazaniasz, syn Maakatyty, oni i ich ludzie.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Ismael, </w:t>
      </w:r>
      <w:r>
        <w:rPr>
          <w:rtl/>
        </w:rPr>
        <w:t>יִׁשְמָעֵאל</w:t>
      </w:r>
      <w:r>
        <w:rPr>
          <w:rtl w:val="0"/>
        </w:rPr>
        <w:t xml:space="preserve"> , czyli: Bóg słyszy.</w:t>
      </w:r>
    </w:p>
  </w:footnote>
  <w:footnote w:id="3">
    <w:p>
      <w:pPr>
        <w:pStyle w:val="FootnoteText"/>
      </w:pPr>
      <w:r>
        <w:rPr>
          <w:rStyle w:val="FootnoteReference"/>
        </w:rPr>
        <w:t>2)</w:t>
      </w:r>
      <w:r>
        <w:t xml:space="preserve"> </w:t>
      </w:r>
      <w:r>
        <w:rPr>
          <w:rtl w:val="0"/>
        </w:rPr>
        <w:t xml:space="preserve">Netaniasz, </w:t>
      </w:r>
      <w:r>
        <w:rPr>
          <w:rtl/>
        </w:rPr>
        <w:t>נְתַנְיָהּו</w:t>
      </w:r>
      <w:r>
        <w:rPr>
          <w:rtl w:val="0"/>
        </w:rPr>
        <w:t xml:space="preserve"> lub </w:t>
      </w:r>
      <w:r>
        <w:rPr>
          <w:rtl/>
        </w:rPr>
        <w:t>נְתַנְיָה</w:t>
      </w:r>
      <w:r>
        <w:rPr>
          <w:rtl w:val="0"/>
        </w:rPr>
        <w:t xml:space="preserve"> , czyli: dał JHWH.</w:t>
      </w:r>
    </w:p>
  </w:footnote>
  <w:footnote w:id="4">
    <w:p>
      <w:pPr>
        <w:pStyle w:val="FootnoteText"/>
      </w:pPr>
      <w:r>
        <w:rPr>
          <w:rStyle w:val="FootnoteReference"/>
        </w:rPr>
        <w:t>3)</w:t>
      </w:r>
      <w:r>
        <w:t xml:space="preserve"> </w:t>
      </w:r>
      <w:r>
        <w:rPr>
          <w:rtl w:val="0"/>
        </w:rPr>
        <w:t xml:space="preserve">Jochanan, </w:t>
      </w:r>
      <w:r>
        <w:rPr>
          <w:rtl/>
        </w:rPr>
        <w:t>יְהֹוחָנָן</w:t>
      </w:r>
      <w:r>
        <w:rPr>
          <w:rtl w:val="0"/>
        </w:rPr>
        <w:t xml:space="preserve"> lub </w:t>
      </w:r>
      <w:r>
        <w:rPr>
          <w:rtl/>
        </w:rPr>
        <w:t>יֹוחָנָן</w:t>
      </w:r>
      <w:r>
        <w:rPr>
          <w:rtl w:val="0"/>
        </w:rPr>
        <w:t xml:space="preserve"> , czyli: JHWH jest łaskawy.</w:t>
      </w:r>
    </w:p>
  </w:footnote>
  <w:footnote w:id="5">
    <w:p>
      <w:pPr>
        <w:pStyle w:val="FootnoteText"/>
      </w:pPr>
      <w:r>
        <w:rPr>
          <w:rStyle w:val="FootnoteReference"/>
        </w:rPr>
        <w:t>4)</w:t>
      </w:r>
      <w:r>
        <w:t xml:space="preserve"> </w:t>
      </w:r>
      <w:r>
        <w:rPr>
          <w:rtl w:val="0"/>
        </w:rPr>
        <w:t xml:space="preserve">Kareach, </w:t>
      </w:r>
      <w:r>
        <w:rPr>
          <w:rtl/>
        </w:rPr>
        <w:t>קָרֵחַ</w:t>
      </w:r>
      <w:r>
        <w:rPr>
          <w:rtl w:val="0"/>
        </w:rPr>
        <w:t xml:space="preserve"> , czyli: łysy.</w:t>
      </w:r>
    </w:p>
  </w:footnote>
  <w:footnote w:id="6">
    <w:p>
      <w:pPr>
        <w:pStyle w:val="FootnoteText"/>
      </w:pPr>
      <w:r>
        <w:rPr>
          <w:rStyle w:val="FootnoteReference"/>
        </w:rPr>
        <w:t>5)</w:t>
      </w:r>
      <w:r>
        <w:t xml:space="preserve"> </w:t>
      </w:r>
      <w:r>
        <w:rPr>
          <w:rtl w:val="0"/>
        </w:rPr>
        <w:t>Serajasz, ׂ</w:t>
      </w:r>
      <w:r>
        <w:rPr>
          <w:rtl/>
        </w:rPr>
        <w:t>שְרָיָה</w:t>
      </w:r>
      <w:r>
        <w:rPr>
          <w:rtl w:val="0"/>
        </w:rPr>
        <w:t xml:space="preserve"> , czyli: JHWH nie ustaje.</w:t>
      </w:r>
    </w:p>
  </w:footnote>
  <w:footnote w:id="7">
    <w:p>
      <w:pPr>
        <w:pStyle w:val="FootnoteText"/>
      </w:pPr>
      <w:r>
        <w:rPr>
          <w:rStyle w:val="FootnoteReference"/>
        </w:rPr>
        <w:t>6)</w:t>
      </w:r>
      <w:r>
        <w:t xml:space="preserve"> </w:t>
      </w:r>
      <w:r>
        <w:rPr>
          <w:rtl w:val="0"/>
        </w:rPr>
        <w:t>Tanchumet, ּ</w:t>
      </w:r>
      <w:r>
        <w:rPr>
          <w:rtl/>
        </w:rPr>
        <w:t>תַנְחֻמֶת</w:t>
      </w:r>
      <w:r>
        <w:rPr>
          <w:rtl w:val="0"/>
        </w:rPr>
        <w:t xml:space="preserve"> , czyli: pocieszenie (?), być może imię pochodzenia egipskiego.</w:t>
      </w:r>
    </w:p>
  </w:footnote>
  <w:footnote w:id="8">
    <w:p>
      <w:pPr>
        <w:pStyle w:val="FootnoteText"/>
      </w:pPr>
      <w:r>
        <w:rPr>
          <w:rStyle w:val="FootnoteReference"/>
        </w:rPr>
        <w:t>7)</w:t>
      </w:r>
      <w:r>
        <w:t xml:space="preserve"> </w:t>
      </w:r>
      <w:r>
        <w:rPr>
          <w:rtl w:val="0"/>
        </w:rPr>
        <w:t xml:space="preserve">Jaazaniasz, </w:t>
      </w:r>
      <w:r>
        <w:rPr>
          <w:rtl/>
        </w:rPr>
        <w:t>יַאֲזַנְיָהּו</w:t>
      </w:r>
      <w:r>
        <w:rPr>
          <w:rtl w:val="0"/>
        </w:rPr>
        <w:t xml:space="preserve"> , czyli: JHWH słyszy.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2024-05-29T07:22:20Z</dcterms:modified>
</cp:coreProperties>
</file>