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Miki, który był synem Zabdiego, a ten synem Asafa, prowadzący uwielbienie w czasie modlitw dziękczynnych, oraz Bakbukiasz, drugi z jego braci, a także Abda, syn Szamui, który był synem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Mattaniasz, syn Miki, syna Zabdiego, syna Asafa, kierował pieśń dziękczynną przy modlitwie. A Bakbukiasz był drugim spośród swoich braci, potem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Matanijasz, syn Michasa, syna Zabadyjaszowego,syna Asafowego, był przedniejszy w zaczynaniu chwały przy modlitwie; a Bakbukijasz wtóry z braci jego, i Abda, syn Sammuj, syna Galilowego, syna Jedytunowego.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Matania, syn Micha, syn Zebedej, syn Asaf, przedniejszy ku chwaleniu i ku wyznawaniu na modlitwie, a Bekbecja wtóry z braciej jego, i Abda syn Samua, syn Galal, syn Iditum.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Michy, syna Zabdiego, syna Asafa, dyrygent przy śpiewie hymnów w czasie modłów dziękczynnych, i Bakbukiasz, drugi z kolei w gronie swoich braci; i 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syn Miki, syna Zabdiego, syna Asafa, rozpoczynał intonację śpiewu podczas modlitwy. Bakbukiasz zajmował drugie miejsce pośród swych braci;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Mattaniasz, syn Miki, syna Zabdiego, syna Asafa, który przewodził śpiewom i intonował pieśni uwielbienia podczas modlitwy, Bakbukiasz, drugi w gronie swych braci, i 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syn Miki, syna Zabdiego, syna Asafa, kierował hymnem pochwalnym. Przy modlitwie on intonował pieśń dziękczynną. Bakbukja był drugim pośród swoich braci.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Маттанія син Міха, і Йовив син Самуя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syn Michy, syna Zabdiego, syna Asafa, był przy modlitwie przedniejszym w początku wysławiania; i drugi z jego braci – Bakbukiasz oraz 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Micheasza, syna Zabdiego, syna Asafa, kierujący wysławianiem w pieśniach, który sławił podczas modlitwy, i Bakbukiasz, drugi z jego braci, i Abda, syn Szammui, syna Galala, syna Jedutuna.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2024-05-29T22:04:14Z</dcterms:modified>
</cp:coreProperties>
</file>