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2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zostanie wyzwolone z niewoli skażenia i wprowadzone w chwalebną wolność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uwolnione z niewoli zniszczenia do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nadzieją, że i samo stworzenie będzie uwolnione z niewoli skażenia na wolność chwały dziatek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samo stworzenie będzie wyswobodzone z niewolstwa skażenia, na wolność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i ono zostanie wyzwolone z niewoli zepsucia, by uczestniczyć w wolności i chwale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wyzwolone z niewoli skażenia ku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ono będzie wyzwolone z niewoli rozkładu do wolności chwały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zostanie wyrwane z zepsucia, które je zniewala, do wolności, którą jest chwała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i ono samo otrzyma wyzwolenie z niewoli zepsucia do wolności chwały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całe stworzenie zostanie wyzwolone od konieczności zagłady i uzyska wspaniałą wolność dzieci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doczeka się uwolnienia z niewoli powodującej zagładę i otrzyma wolność, która darzy chwałą, jaką cieszą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саме створіння буде визволене від рабства тління - на свободу слави дітей Божих.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to stworzenie zostanie uwolnione z niewoli deprawacji, dla chwały wolności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ono zostanie wyzwolone ze swej niewoli zepsucia i będzie cieszyć się wolnością towarzyszącą chwale, jaką posiądą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samo stworzenie zostanie uwolnione z niewoli skażenia i dostąpi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jednak nadzieję, że i ono zostanie uwolnione od przekleństwa śmierci i będzie żyć w wolności i chwale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2024-05-28T22:38:02Z</dcterms:modified>
</cp:coreProperties>
</file>