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2024-05-31T16:12:32Z</dcterms:modified>
</cp:coreProperties>
</file>