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przysłowie powtarzacie sobie o ziemi Izraela: Ojcowie jedli kwaśne grona, a ścierpły zęby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takie przysłowie o ziemi Izraela, mówiąc: Ojcowie jedli kwaśne winogrona, a synom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wam po tem, iż używacie tej przypowieści o ziemi Izraelskiej mówiąc: Ojcowie jedli jagodę cierpką, a synów zęby drętwieją.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że między sobą podobieństwo w tę przypowieść obracacie w ziemi Izraelskiej, mówiąc: Ojcowie zjedli jagodę winną niedojźrzałą, a zęby synów drętwieją?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powtarzacie między sobą to przysłowie o ziemi izraelskiej: Ojcowie jedli zielone winogrona, a zęby ścierpły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używacie między sobą przysłowia o ziemi izraelskiej: Ojcowie jedli kwaśne grona, a zęby synów ścierpły?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to przysłowie o ziemi Izraela: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powtarzacie między sobą to przysłowie o ziemi Izraela: «Ojcowie jedli niedojrzałe grono, a dzieciom cierpną zęby»?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się z wami [stało], że takie oto przysłowie mówicie o ziemi Izraela: Ojcowie jedli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чим для вас ця притча в синів Ізраїля, що каже: Батьки їли неспілий виноград, і зуби дітей мають оскомину?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do was przyszło, że na ziemi israelskiej posługujecie się taką przypowieścią: Ojcowie spożywali cierpkie jagody, a zęby synów 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to dla was znaczy, że na ziemi izraelskiej wypowiadacie to przysłowie, mówiąc: ʼOjcowie jedzą niedojrzałe winogrona, a synom zęby cierpnąʼ?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2024-06-02T12:27:27Z</dcterms:modified>
</cp:coreProperties>
</file>