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mu przesłanie,* które Ja 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niezwłocznie do Niniwy, tego wielkiego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i ogłoś mu przesłanie, które Ja przekażę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przeciwko niej to, co ci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miasta wielkiego, a każ przeciwko niemu to, coć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opowiedaj w nim opowiedanie, które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wielkiego miasta, i głoś jej upomnienie, które Ja ci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Niniwy, tego wielkiego miasta, i zwiastuj mu poselstwo, które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głoś jej przesłanie,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głoś to, co ci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głoś mu zapowiedź, którą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піди до великого міста Ніневії і сповісти в ньому за ранішою проповіддю, яку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oraz krzycz do niego zwiastowanie, które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jej to obwieszczenie, które ci oznajmiam”.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przesłanie, </w:t>
      </w:r>
      <w:r>
        <w:rPr>
          <w:rtl/>
        </w:rPr>
        <w:t>הַּקְרִיאָה</w:t>
      </w:r>
      <w:r>
        <w:rPr>
          <w:rtl w:val="0"/>
        </w:rPr>
        <w:t xml:space="preserve"> (haqqeri’a h): wg 4QXII a : przesłanie tak, jak ci mówię, )</w:t>
      </w:r>
      <w:r>
        <w:rPr>
          <w:rtl/>
        </w:rPr>
        <w:t>הקרי ) בר ( ד֯ אנכי אשר כזות אה ; כזות</w:t>
      </w:r>
      <w:r>
        <w:rPr>
          <w:rtl w:val="0"/>
        </w:rPr>
        <w:t xml:space="preserve"> , na którego obecność wskazuje G, a którego brak w MT i 8HevXIIgr, sugeruje, że Bóg pozostawia prorokowi pewną swobodę w wyrażeniu przyjętego poselstwa. Brak </w:t>
      </w:r>
      <w:r>
        <w:rPr>
          <w:rtl/>
        </w:rPr>
        <w:t>כזות</w:t>
      </w:r>
      <w:r>
        <w:rPr>
          <w:rtl w:val="0"/>
        </w:rPr>
        <w:t xml:space="preserve"> bardziej uwypukla zależność proroka od Boga, pozostawia mniej wolności jego własnej inwencji w przekazie poselstwa, &lt;x&gt;390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2024-05-24T16:37:08Z</dcterms:modified>
</cp:coreProperties>
</file>