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te były ozdobione cherubami, palmami i kwitnącymi kwiatami, a ich złote pokrycie dokładnie pasowało do żłobień.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wyrył cherubiny, palmy i rozkwitłe kwiaty i pokrył złotem dokładnie nałożonym na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na nich Cherubiny i palmy, i rozkwitłe kwiaty, a powlókł złotem ciągnionem to, co było wyryto.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wyrzezał Cheruby i palmy, i rzezania barzo wydatnie i powlókł wszytko blachami złotemi robotą granowitą pod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wyrzeźbił cheruby, palmy, girlandy kwiatów oraz pokrył te płaskorzeźby cienkim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wyryć na nich jako płaskorzeźby postacie cherubów, liście palmowe i rozwarte kielichy kwiatów oraz pokryć je złotą blachą dokładnie dopasowując ją do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cheruby, palmy i rozchylone kielichy kwiatów, a płaskorzeźby te pokrył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na nich cherubów, palmy i kielichy kwiatowe, pokrywając je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płaskorzeźby cherubów, palm i otwartych kielichów kwiatowych i pokrył złotem, dokładnie nałożonym na płaskorzeźbę.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зовнішний притвір: три ряди нетесаних, і ряд тесаного кедру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wyrzeźbił cheruby, palmy oraz rozwarte pąki oraz pokrył je złotem, dokładnie dopasowując do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cheruby oraz wizerunki palm i płaskorzeźby kwiatów, i pokrył te wyobrażenia złotą folią.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2024-05-19T23:34:29Z</dcterms:modified>
</cp:coreProperties>
</file>