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by twój sługa zawrócił. Niech umrę w moim mieście przy grobie mego ojca i matki. Ale oto twój sługa Kimham* pójdzie z moim panem, królem. Jemu uczyń to, co uznasz za słuszne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L dod.: mój syn. Również imię to w pierwszym przypadku występuje w formie </w:t>
      </w:r>
      <w:r>
        <w:rPr>
          <w:rtl/>
        </w:rPr>
        <w:t>כִמְהָם</w:t>
      </w:r>
      <w:r>
        <w:rPr>
          <w:rtl w:val="0"/>
        </w:rPr>
        <w:t xml:space="preserve"> , a w &lt;x&gt;100 19:41&lt;/x&gt; w ּ</w:t>
      </w:r>
      <w:r>
        <w:rPr>
          <w:rtl/>
        </w:rPr>
        <w:t>כִמְהָן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2024-05-26T05:38:26Z</dcterms:modified>
</cp:coreProperties>
</file>