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wszystkich przyborów przybytku (używanych) przy jego służbie i wszystkich jego palików,** i wszystkich palików dziedzińca, będą (one)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zrobisz, </w:t>
      </w:r>
      <w:r>
        <w:rPr>
          <w:rtl/>
        </w:rPr>
        <w:t>את כל וְעָׁשִיתָ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palików, </w:t>
      </w:r>
      <w:r>
        <w:rPr>
          <w:rtl/>
        </w:rPr>
        <w:t>יְתֵדֹת</w:t>
      </w:r>
      <w:r>
        <w:rPr>
          <w:rtl w:val="0"/>
        </w:rPr>
        <w:t xml:space="preserve"> (jetedot): odnosi się też do lin odciągowych, zob. &lt;x&gt;20 35:18&lt;/x&gt;;&lt;x&gt;20 39:40&lt;/x&gt;.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2024-04-30T05:54:42Z</dcterms:modified>
</cp:coreProperties>
</file>