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bagnie* i brzydziłyby się mną moje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bagnie, za em. na hbr. ׂ</w:t>
      </w:r>
      <w:r>
        <w:rPr>
          <w:rtl/>
        </w:rPr>
        <w:t>שֻחֹות</w:t>
      </w:r>
      <w:r>
        <w:rPr>
          <w:rtl w:val="0"/>
        </w:rPr>
        <w:t xml:space="preserve"> (suchot), zob. &lt;x&gt;290 5:25&lt;/x&gt;; wg MT: w dole, ׁ</w:t>
      </w:r>
      <w:r>
        <w:rPr>
          <w:rtl/>
        </w:rPr>
        <w:t>שַחַת</w:t>
      </w:r>
      <w:r>
        <w:rPr>
          <w:rtl w:val="0"/>
        </w:rPr>
        <w:t xml:space="preserve"> . W obu przypadkach może chodzić o to samo; wg G: w brudzie, ἐν ῥύπῳ.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2024-04-29T19:57:36Z</dcterms:modified>
</cp:coreProperties>
</file>