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radosne,* lecz lampa bezbożnych gaśnie.**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kontekście światła radosne, hbr. </w:t>
      </w:r>
      <w:r>
        <w:rPr>
          <w:rtl/>
        </w:rPr>
        <w:t>יִׂשְמָח</w:t>
      </w:r>
      <w:r>
        <w:rPr>
          <w:rtl w:val="0"/>
        </w:rPr>
        <w:t xml:space="preserve"> (jismach), znaczy: świeci jasno lub cieszy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Światło sprawiedliwych (świeci) nieustannie, ale światło bezbożnych zostanie zgaszone. G dodaje w. 9a: Dusze zwodnicze błądzą w grzechach, sprawiedliwi zaś okazują współczucie i miłosierdzie, ψυχαὶ δόλιαι  πλανῶνται  ἐν  ἁμαρτίαις  δίκαιοι  δὲ οἰκτίρουσιν καὶ ἐλεῶσιν.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2024-04-28T08:52:01Z</dcterms:modified>
</cp:coreProperties>
</file>