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będzie łoże, by się na nim wyciągnąć,* i za wąskie przykrycie, by można się nim otulić.**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wyciągnąć, </w:t>
      </w:r>
      <w:r>
        <w:rPr>
          <w:rtl/>
        </w:rPr>
        <w:t>מֵהִׂשְּתָרֵעַ</w:t>
      </w:r>
      <w:r>
        <w:rPr>
          <w:rtl w:val="0"/>
        </w:rPr>
        <w:t xml:space="preserve"> : wg 1QIsa a : </w:t>
      </w:r>
      <w:r>
        <w:rPr>
          <w:rtl/>
        </w:rPr>
        <w:t>משתריים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otulić, ּ</w:t>
      </w:r>
      <w:r>
        <w:rPr>
          <w:rtl/>
        </w:rPr>
        <w:t>כְהִתְּכַּנֵס</w:t>
      </w:r>
      <w:r>
        <w:rPr>
          <w:rtl w:val="0"/>
        </w:rPr>
        <w:t xml:space="preserve"> (kehitkanes), jak na otulenie się : wg 1QIsa a : dla otulenia się, </w:t>
      </w:r>
      <w:r>
        <w:rPr>
          <w:rtl/>
        </w:rPr>
        <w:t>בהתכנס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2024-04-29T08:09:25Z</dcterms:modified>
</cp:coreProperties>
</file>