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wnętrzności i kończyny zostaną obmyte wodą, po czym kapłan 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 na ołtarzu jako ofiarę całopalną, wdzięczny 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nogi obmyje wodą. I kapłan spali to wszystko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jego, i nogi jego, opłucze wodą, i zapali kapłan to wszystko na ołtarzu;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jelita i nogi opłukawszy w wodzie. I spali je kapłan na ołtarzu na całopalenie i na wdzięczną wonią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zamieni to wszystko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jego zaś i nogi obmyją wodą. Kapłan wszystko to spali na ołtarzu jako ofiarę całopalną,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jego wnętrzności oraz jego nogi obmyją wodą. Kapłan wszystko to spali na ołtarzu.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ofiarę obmyje wodą wnętrzności i nogi zwierzęcia, a kapłan spali wszystko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Wszystko to kapłan spali na ołtarzu. To jest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 wodzie jego wnętrzności i jego nogi. Kohen zmieni w wonny dym wszystko [to]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внутреності і ноги помиють водою, і покладуть священики все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opłuczą wodą i puszczą wszystko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jelita oraz golenie zostaną obmyte wodą; i kapłan zamieni to wszystko w dym na ołtarzu jako całopalenie,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2024-04-27T04:36:34Z</dcterms:modified>
</cp:coreProperties>
</file>