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jest prawo dotyczące plagi trądu* na szacie wełnianej lub lnianej, lub na osnowie, lub na wątku, lub na jakimkolwiek przedmiocie skórzanym,** aby (móc) uznać go za czysty lub za nieczysty.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prawo dotyczące pasożyta</w:t>
            </w:r>
            <w:r>
              <w:rPr>
                <w:rFonts w:ascii="Times New Roman" w:eastAsia="Times New Roman" w:hAnsi="Times New Roman" w:cs="Times New Roman"/>
                <w:noProof w:val="0"/>
                <w:sz w:val="24"/>
              </w:rPr>
              <w:t xml:space="preserve"> na szacie wełnianej lub lnianej, na osnowie, wątku lub na jakimkolwiek przedmiocie skórzanym, pozwalające uznać go za czysty lub nieczysty.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prawo dotyczące oznak trądu na ubraniu wełnianym albo lnianym, na wątku i osnowie tkaniny, albo na jakimś przedmiocie ze skóry, aby uznać je za czyste lub za nieczyste.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jest prawo dotyczące zarazy trądu na ubraniu wełnianym albo lnianym, na wątku tkaniny lub na osnowie, bądź też na jakimkolwiek przedmiocie skórzanym, by określić, co jest czyste, a co nieczyste”.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są przepisy dotyczące zarazy trądu na szacie wełnianej albo lnianej, na nici osnowy, wątku czy też na jakimś przedmiocie ze skóry: czy uznać je za czyste, czy też nieczyste.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To jest przepis prawa oznaki caraatu na wełnianym lub lnianym ubraniu, na osnowie, wątku albo na jakiejkolwiek rzeczy ze skóry, żeby ją uznać za rytualnie czystą albo uznać za rytualnie skażoną.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хворого місця прокази одежі шерстяної, чи сукняної, чи прямовистої чи поземної нитки, чи всякого скіряного посуду, щоб його очистити, чи проголосити його нечистим.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prawa dotyczące plagi trądu na szacie wełnianej lub lnianej albo na osnowie lub na wątku, albo na jakimś przedmiocie skórzanym, żeby można to uznać za czyste albo uznać za nieczyste”.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PS det.</w:t>
      </w:r>
    </w:p>
  </w:footnote>
  <w:footnote w:id="3">
    <w:p>
      <w:pPr>
        <w:pStyle w:val="FootnoteText"/>
      </w:pPr>
      <w:r>
        <w:rPr>
          <w:rStyle w:val="FootnoteReference"/>
        </w:rPr>
        <w:t>2)</w:t>
      </w:r>
      <w:r>
        <w:t xml:space="preserve"> </w:t>
      </w:r>
      <w:r>
        <w:t>W PS det.; w MT jest on również w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2024-04-27T23:59:55Z</dcterms:modified>
</cp:coreProperties>
</file>