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Wyrzucono mnie sprzed Twoich oczu. 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spojrzę jeszcze kiedyś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aż do duszy, przepaść mnie otoczyła, moją głowę owinęła trawa morska.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był rzekł: Wygnanym jest od oczów twoich, wszakże jeszcze będę patrzał na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mówił: jestem odrzucony od widzenia oczu twoich, wszakże zasię ujźrzę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zewsząd, aż po gardło, ocean mnie otoczył, sitowie oplotło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pomyślałem: Jestem wygnany sprzed twoich oczu, jakże będę mógł jeszcze spojrzeć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wypędzony sprzed Twoich oczu, czy jeszcze będę oglądał Twoją świętą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Jestem daleko wygnany sprzed Twoich oczu. Jakże będę mógł znowu zobaczyć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pomyślałem: Zostałem odtrącony od Twego oblicza; czy jeszcze ujrzę kiedykolwiek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Я відкинений від твоїх очей. Отже чи додам поглянути на твій святий храм?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myślałem: Jestem odrzucony sprzed Twojego oblicza! Czy jeszcze kiedykolwiek ujrzę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otoczyły mnie aż do duszy; ogarniała mnie głębina wodna. Głowę moją oplatały wodorosty.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2024-04-27T17:21:52Z</dcterms:modified>
</cp:coreProperties>
</file>