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0"/>
        <w:gridCol w:w="3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dożył dwustu pięciu lat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Teracha było dwieście pięć lat,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dwieście lat, i pięć lat; i umarł Tare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 ście i pięć lat, i 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doczekał dwustu i pięciu lat życia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lat. I umarł Terach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 zmarł w Charanie, mając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umarł w Charanie, przeżywszy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Teracha było dwieście pięć.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дні Тари в Харрані двісті пять літ, і помер Тара в Харрані.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były przez dwieście pięć lat; i Terach 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było dwieście pięć lat. Potem Terach umarł w Charanie.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2024-04-29T01:00:10Z</dcterms:modified>
</cp:coreProperties>
</file>