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moje serce gotowe: Pragnę śpiewać i grać* – Pragnę całym sobą!**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57:8-12&lt;/x&gt;; &lt;x&gt;580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Także moja chwało! : ּ</w:t>
      </w:r>
      <w:r>
        <w:rPr>
          <w:rtl/>
        </w:rPr>
        <w:t>כָבֹוד</w:t>
      </w:r>
      <w:r>
        <w:rPr>
          <w:rtl w:val="0"/>
        </w:rPr>
        <w:t xml:space="preserve"> (kawod) met. odnosi się do całego jestestwa człowieka; (2) Także moja wątrobo! : ּ</w:t>
      </w:r>
      <w:r>
        <w:rPr>
          <w:rtl/>
        </w:rPr>
        <w:t>כָבֵדי</w:t>
      </w:r>
      <w:r>
        <w:rPr>
          <w:rtl w:val="0"/>
        </w:rPr>
        <w:t xml:space="preserve"> (kewedi) odnosi się do emocjonalnej strony człowieka, &lt;x&gt;230 16:9&lt;/x&gt;;&lt;x&gt;230 30:12&lt;/x&gt;;&lt;x&gt;230 57:9&lt;/x&gt;.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2024-04-28T15:38:30Z</dcterms:modified>
</cp:coreProperties>
</file>