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niczym krzew w twej winnicy,* zasadzona nad wodami, owocowała i gęstniała dzięki obfitości wód.**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winnicy, za dwoma Mss, </w:t>
      </w:r>
      <w:r>
        <w:rPr>
          <w:rtl/>
        </w:rPr>
        <w:t>כרמך</w:t>
      </w:r>
      <w:r>
        <w:rPr>
          <w:rtl w:val="0"/>
        </w:rPr>
        <w:t xml:space="preserve"> (karmecha) BHS, wg G: jak krzew winny, jak kwiat na drzewie granatowym, ὡς ἄμπελος ὡς ἄνθος ἐν ῥόᾳ. Wg MT: jak krzew we krwi, </w:t>
      </w:r>
      <w:r>
        <w:rPr>
          <w:rtl/>
        </w:rPr>
        <w:t>כַּגֶפֶןּבְדָמְָך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&lt;x&gt;330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2024-04-28T10:22:57Z</dcterms:modified>
</cp:coreProperties>
</file>