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kątach dziedzińca były mniejsze* dziedzińce, czterdzieści łokci długości i trzydzieści łokci szerokości; wszystkie cztery miały takie same wymiary.**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mniejsze, za em. </w:t>
      </w:r>
      <w:r>
        <w:rPr>
          <w:rtl/>
        </w:rPr>
        <w:t>קְטַּגֹות</w:t>
      </w:r>
      <w:r>
        <w:rPr>
          <w:rtl w:val="0"/>
        </w:rPr>
        <w:t xml:space="preserve"> ; por. G, αὐλὴ μικρά; wg MT </w:t>
      </w:r>
      <w:r>
        <w:rPr>
          <w:rtl/>
        </w:rPr>
        <w:t>קְטֻרֹות</w:t>
      </w:r>
      <w:r>
        <w:rPr>
          <w:rtl w:val="0"/>
        </w:rPr>
        <w:t xml:space="preserve"> (qeturot), hl, zamknięte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wymiary, </w:t>
      </w:r>
      <w:r>
        <w:rPr>
          <w:rtl/>
        </w:rPr>
        <w:t>מְהֻקְצָעֹות</w:t>
      </w:r>
      <w:r>
        <w:rPr>
          <w:rtl w:val="0"/>
        </w:rPr>
        <w:t xml:space="preserve"> (mehuqtsa‘ot), hl;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2024-04-28T14:57:55Z</dcterms:modified>
</cp:coreProperties>
</file>