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2024-05-26T05:36:27Z</dcterms:modified>
</cp:coreProperties>
</file>