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1"/>
        <w:gridCol w:w="4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nie cofnął się w wierze, choć miał świadomość, że jego ciało, jako około stuletniego mężczyzny, jest już martwe, podobnie jak martwe jest łono Sary.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będąc słabym w wierze, nie zważał na swoje już obumarłe ciało — bo miał około stu lat — ani na obumarłe łono Sary.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 będąc słabym w wierze, nie patrzył na ciało swoje już obumarłe, mając około stu lat, ani na obumarły żywot Sary.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osłabiał w wierze ani się oglądał na ciało swe obumarłe, gdy już miał około sta lat, i na obumarły żywot Sary.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nie zachwiał się w wierze, choć widział obumarłe ciało swoje, mając około stu lat, oraz obumarłe łono Sary;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zachwiał się w wierze, choć stwierdził, że jego ciało jest obumarłe – miał już bowiem około stu lat – i że obumarłe jest łono Sary.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nie zachwiał się w wierze, choć wiedział, że jego ciało jest już obumarłe - miał prawie sto lat - i że obumarłe jest łono Sary.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w tej wierze nie okazał słabości, choć dobrze wiedział, że jego ciało już jest uwiędłe — miał około stu lat — i że uwiędłe jest także łono Sary.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zachwiał się w swej wierze, choć zdawał sobie sprawę ze słabości swego ciała, bo miał prawie sto lat, i z tego, że Sara nie może już mieć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nie osłabła jego wiara, choć widział obumarłe swe ciało - miał już prawie sto lat - i obumarłe łono Sary.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ослаб він у вірі, не вважав свого тіла, - хоч мав майже сто років, - змертвілим, ні змертвілим лона Сарри;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nie był słabym wiarą i już nie patrzał na swoje obumierające ciało (będąc około stuletni), i obumarłe łono Sary.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zachwiała się jego ufność, gdy zważył na własne ciało, które było nieomal martwe, miał bowiem blisko sto lat, ani gdy zważył na to, że martwe jest też łono Sary.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chociaż nie osłabł w wierze, brał pod uwagę swoje ciało – już obumarłe, gdyż miał około stu lat” – a także martwotę łona Sary.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stracił wiary, choć widział, że on sam się starzeje—miał już wtedy bowiem prawie sto lat—i że Sara nie może już mieć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2024-04-28T17:35:41Z</dcterms:modified>
</cp:coreProperties>
</file>