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7"/>
        <w:gridCol w:w="45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ziemia była niewidoczna i niestała a ciemność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[zalegała]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― otchłanią, i Duch Boga unosił się nad ― wodą.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ziemia była bezładna i pusta,* ciemność (rozciągała się) nad otchłanią,** a Duch Boży*** unosił się nad powierzchnią wód.****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bezładna i pusta, </w:t>
      </w:r>
      <w:r>
        <w:rPr>
          <w:rtl/>
        </w:rPr>
        <w:t>וָבֹהּו תֹהּו</w:t>
      </w:r>
      <w:r>
        <w:rPr>
          <w:rtl w:val="0"/>
        </w:rPr>
        <w:t xml:space="preserve"> (tohu wawohu), tak opisywane są skutki sądu, np. &lt;x&gt;290 34:10-11&lt;/x&gt;; &lt;x&gt;300 4:23&lt;/x&gt;. Odczyt w. 2: Ziemia zaś stała się bezładna i pusta i (l. tak, że) ciemność (rozciągała się) nad otchłanią, a Duch Boży unosił się nad powierzchnią wód, służy za uzasadnienie teorii stworzenia – odnowy, głoszącej, że Bóg stworzył niebo i ziemię, doszło do katastrofy (zob. &lt;x&gt;290 45:18&lt;/x&gt;; &lt;x&gt;330 28:11-19&lt;/x&gt;), a w. 3 rozpoczyna opis procesu odnowy.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otchłań, </w:t>
      </w:r>
      <w:r>
        <w:rPr>
          <w:rtl/>
        </w:rPr>
        <w:t>תְהֹום</w:t>
      </w:r>
      <w:r>
        <w:rPr>
          <w:rtl w:val="0"/>
        </w:rPr>
        <w:t xml:space="preserve"> (tehom): może ozn. głębię oceanu; charakterystyczne dla opisu biblijnego jest to, że w odróżnieniu od kosmogonii innych kultur żywioły nie są w nim przedstawiane jako bóstwa (&lt;x&gt;10 1:2&lt;/x&gt;), por. &lt;x&gt;10 1:7&lt;/x&gt;, 14;&lt;x&gt;10 7:11&lt;/x&gt;;&lt;x&gt;10 8:2&lt;/x&gt;; &lt;x&gt;230 33:7&lt;/x&gt;;&lt;x&gt;230 104:6&lt;/x&gt;.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41:38&lt;/x&gt;; &lt;x&gt;20 31:3&lt;/x&gt;; &lt;x&gt;20 35:31&lt;/x&gt;; &lt;x&gt;40 24:2&lt;/x&gt;; &lt;x&gt;90 10:10&lt;/x&gt;; &lt;x&gt;90 11:6&lt;/x&gt;; &lt;x&gt;90 19:20&lt;/x&gt;; &lt;x&gt;140 15:1&lt;/x&gt;; &lt;x&gt;140 24:20&lt;/x&gt;; &lt;x&gt;330 11:24&lt;/x&gt;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&lt;x&gt;680 3:5&lt;/x&gt;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2024-04-26T08:42:04Z</dcterms:modified>
</cp:coreProperties>
</file>