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doniesiono, że król właśnie płacze z żalu nad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zawiadomiono Joaba: Oto król płacze i lamentuje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oznajmino Joabowi: Oto król płacze i żałuje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Joabowi, że król płacze i żałuje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Joabowi zaś doniesiono: Król płacze. 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doniesiono Joabowi: Król płacze i lamentuje nad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zadrżał, wszedł do górnej komnaty w bramie, gdzie chodził, płakał i wołał: Mój synu, Absalomie! Mój synu! Mój synu, Absalomie! O, gdybym umarł zamiast ciebie, Absalomie!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był zdruzgotany. Poszedł do górnej sali w budynku bramy i zaczął płakać. A idąc, tak zawodził: „Mój synu, Absalomie! Mój synu, Absalomie! Obym to ja umarł zamiast ciebie, Absalomie, mój synu,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zadrżał, wszedł do górnej komnaty w bramie i zapłakał. Idąc zaś wołał: - Synu mój Abszalomie, synu mój, synu mój Abszalomie! Obym ja był umarł zamiast ciebie, Abszalomie,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zadrżał, wszedł do górnej komnaty w bramie i zapłakał. I tak mówił, chodząc: Mój syn Absalom! Mój syn, mój syn Absalom! O, gdybym zginął zamiast ciebie,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Joabowi: ”Oto król płacze i obchodzi żałobę po Absalomie”.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2024-04-29T08:44:30Z</dcterms:modified>
</cp:coreProperties>
</file>