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dwie kolumny i krągłości głowic, które były na szczycie obu kolumn, i dwie siatki dla okrycia dwóch krągłości głowic, które były na szczycie kolumn,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2024-05-08T10:04:18Z</dcterms:modified>
</cp:coreProperties>
</file>