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więc o zmierzchu,* aby wejść do obozu Aramejczyków, lecz gdy dotarli na skraj obozu Aramejczyków, oto nikogo tam nie było!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zmierzchu, </w:t>
      </w:r>
      <w:r>
        <w:rPr>
          <w:rtl/>
        </w:rPr>
        <w:t>נֶׁשֶף</w:t>
      </w:r>
      <w:r>
        <w:rPr>
          <w:rtl w:val="0"/>
        </w:rPr>
        <w:t xml:space="preserve"> , pod. &lt;x&gt;290 5:11&lt;/x&gt;;&lt;x&gt;290 21:4&lt;/x&gt;;&lt;x&gt;290 50:10&lt;/x&gt;; &lt;x&gt;240 7:9&lt;/x&gt;, ale może odnosić się też do brzasku, zob. &lt;x&gt;90 30:17&lt;/x&gt;; &lt;x&gt;300 13:16&lt;/x&gt;; &lt;x&gt;230 119:147&lt;/x&gt;; &lt;x&gt;220 3:9&lt;/x&gt;;&lt;x&gt;220 7:4&lt;/x&gt;.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2024-04-29T04:27:20Z</dcterms:modified>
</cp:coreProperties>
</file>