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 z kolei, Elipeleh, Miknejasz, Obed-Edom, Jejel i Azazjasz przewodzili na cytrach o oktawę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Mattitiasz, Elifel, Miknejasz, Obed-Edom, Jejel i Azaziasz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harfach na Seminit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Matytyjasz, i Elifele, i Miknejasz, i Obededom, i Jechyjel, i Azazyjasz grali na cytrach przy śpiewaniu niskiem.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 i Elifalu, i Macenias, i Obededom, i Jehiel, i Ozazju na cytrach na oktawę grali zwycięską.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harfach, by dominować w oktawie;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Elipelehu, Miknejasz, Obed Edomczyk, Jeiel, Asazjasz grali na cytrach o oktawę niżej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Mattitiasza, Eliflehu, Miknejasza, Obed-Edoma, Jejela i Azazjasza – na lirach o ośmiu strunach, aby kierować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lirach, by nadawać ton w oktawie.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Eliflehu, Miknejahu, Obed-Edom, Jeiel i Azazjahu na cytrach w oktawie i mieli prowadzić [śpiew].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Маттатія і Еліфалія і Макенія і Авдедом і Іїл і Озія з гарфами амасеніт, щоб підсилити.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Mattitjasz, Elifele, Miknejasz, Obed Edom, Jejel i Azazjasz grali na cytrach w niższych oktawach.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Mattitiasza, i Elifelehu, i Miknejasza, i Obed-Edoma, i Jejela, i Azazjasza – z harfami nastrojonymi na tony szeminit, by pełnili funkcję kierowników;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2024-04-27T14:58:13Z</dcterms:modified>
</cp:coreProperties>
</file>