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wyciągnę przeciw nim rękę i uczynię ich kraj pustkowiem, nieużytkiem od pustyni po Riblatę — wszędzie, gdzie wcześniej mieszkali!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tę ziemię spustoszoną, bardziej spustoszoną od pustyni Diblat, wszędzie, gdzie mieszkają. I tak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swoję wyciągnę przeciwko nim, i uczynię tę ziemię spustoszoną i bardziej spustoszoną niż pustynię Dyblat, we wszystkich mieszkaniach ich. A tak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moję na nie, i uczynię ziemię spustoszoną i opuszczoną od puszczej Deblata po wszech mieszkaniach ich, a doznają,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nim i zamienię kraj ten w ziemię pustą i dziką, począwszy od pustyni aż do Ribla, wszędzie, gdzie mieszkają.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kraj straszliwym pustkowiem, od pustyni aż do Rybli, wszędzie, gdzie mieszkają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 i uczynię kraj ruiną oraz pustkowiem, od pustyni aż po Riblę, we wszystkich ich miejscach zamieszkania.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na nich rękę, ich kraj uczynię ruiną i pustkowiem - od pustyni aż po Riblę - gdziekolwiek mieszkają.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przeciw nim i zamienię kraj w ruinę i pustkowie, od pustyni aż po Ribla, wszędzie gdzie będą ich osiedla.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rękę, obrócę ziemię w pustkowie oraz zgrozę, od stepu aż do Dybli, we wszystkich ich osadach. Wtedy 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nim, i uczynię kraj bezludnym pustkowiem, pustkowiem gorszym niż pustynia ciągnąca się ku Dibli, we wszystkich ich miejscach zamieszkania.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2024-05-26T12:08:44Z</dcterms:modified>
</cp:coreProperties>
</file>