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2024-04-19T09:31:40Z</dcterms:modified>
</cp:coreProperties>
</file>