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żony swojego bliźniego, nie pragnij domu swojego bliźniego ani jego pola,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pragnął żony swego bliźniego ani nie będziesz pożądał domu swego bliźniego, ani jego pola, ani jego sługi czy służącej, ani jego wołu czy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żony bliźniego twego, ani będziesz pożądał domu bliźniego twego, roli jego, i sługi jego, i służebnicy jego, wołu jego, i osła jego, i wszystkich rzeczy, które są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żony bliźniego twego, nie domu, nie rolej, nie sługi, nie służebnice, nie wołu, nie osła, i wszytkich rzeczy, które jego są.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domu swojego bliźniego ani jego pola, ani jego niewolnika, ani jego niewolnicy, ani jego wołu, ani jego osła, ani żadnej rzeczy, która należy do twojego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pożądał żony swego bliźniego. Nie będziesz pragnął domu swego bliźniego, jego pola, jego sługi i służącej, jego wołu 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jego domu, jego pola,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żony bliźniego twego i nie będziesz pragnął domu bliźniego twego ani jego pola, ani sługi lub służebnicy, wołu czy osła, ani żadnej rzeczy, która należy do bliźniego twego.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powiedzieliście: Oto Bóg, nasz Bóg, ukazał nam Swoją chwałę i Swoją wielkość, i usłyszeliśmy dźwięk Jego słowa spośród ognia. Dzisiaj ujrzeliśmy, że Bóg przemawia do człowieka, a on może pozostać przy życiu.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всякого його скоту, ані те, що є ближнього твого.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powiedzieliście: Oto WIEKUISTY, nasz Bóg, ukazał nam Swoją chwałę i Swoją wielkość; także słyszeliśmy Jego głos spośród ognia. Dzisiejszego dnia widzieliśmy, że Bóg przemawia do człowieka a on zostaje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ʼNie wolno ci pożądać żony twego bliźniego. Ani nie wolno ci samolubnie pragnąć domu twego bliźniego, jego pola ani jego niewolnika, ani jego niewolnicy, jego byka ani jego osła, ani niczego, co należy do twego bliźniegoʼ.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2024-04-27T11:05:56Z</dcterms:modified>
</cp:coreProperties>
</file>