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2024-04-25T20:31:50Z</dcterms:modified>
</cp:coreProperties>
</file>