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9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― chory: Panie, człowieka nie mam, aby kiedy po poruszeniu ― wody rzuciłby mnie do ― basenu;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[czasie]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zaś przychodzę ja, inny przede mną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 Mu: Panie, nie mam człowieka, który – gdy poruszona zostanie woda* – wrzuciłby mnie do sadzawki, a zanim ja sam dojdę, inny wchodzi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chorujący: Panie, człowieka nie mam, aby kiedy poruszy się woda, rzucił mnie do basenu. W tym (czasie gdy) zaś przychodzę ja, inny przede mną 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Przypisanie poruszenia wody aniołowi mogło być ówczesnym popularnym tłumaczeniem zjawisk niejasnych, por. &lt;x&gt;500 12:29&lt;/x&gt;; &lt;x&gt;510 23:9&lt;/x&gt;; &lt;x&gt;500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2024-04-26T13:05:33Z</dcterms:modified>
</cp:coreProperties>
</file>