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Unieś swoją rękę nad ziemię egipską za* szarańczą. Niech spadnie na ziemię egipską i pożre wszelką zieleń ziemi,** wszystko, co pozostawił grad.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: hbr. przyim ּ</w:t>
      </w:r>
      <w:r>
        <w:rPr>
          <w:rtl/>
        </w:rPr>
        <w:t>בְ</w:t>
      </w:r>
      <w:r>
        <w:rPr>
          <w:rtl w:val="0"/>
        </w:rPr>
        <w:t xml:space="preserve"> bywa em. na przyim </w:t>
      </w:r>
      <w:r>
        <w:rPr>
          <w:rtl/>
        </w:rPr>
        <w:t>לְ</w:t>
      </w:r>
      <w:r>
        <w:rPr>
          <w:rtl w:val="0"/>
        </w:rPr>
        <w:t xml:space="preserve"> , &lt;x&gt;20 10:12&lt;/x&gt;L.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wszelki owoc drzewa, </w:t>
      </w:r>
      <w:r>
        <w:rPr>
          <w:rtl/>
        </w:rPr>
        <w:t>העץ ואת כל פרי</w:t>
      </w:r>
      <w:r>
        <w:rPr>
          <w:rtl w:val="0"/>
        </w:rPr>
        <w:t xml:space="preserve"> : pod. G, καὶ πάντα τὸν καρπὸν τῶν ξύλων.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2024-04-18T03:21:10Z</dcterms:modified>
</cp:coreProperties>
</file>