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(znów) złoty dzwoneczek i jabłuszko granatu będą na dolnych brzegach płaszcza dookoła.*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złoty dzwoneczek będzie pomiędzy każdym jabłuszkiem granatu na całym obwodzie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dzwonek i jabłko granatu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złoty dzwonek i jabłko granatu, dokoła dolnego brzegu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a jabłko granatowe; i zaś dzwonek złoty i jabłko granatowe u podołka płaszcza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żeby dzwoneczek był złoty a malogranat, i zasię drugi dzwoneczek złoty i malogranat.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będą następowały na przemian dokoła na dolnych brzegach sukni.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jabłuszko granatu, i znowu złoty dzwoneczek i jabłuszko granatu będą dokoła na dolnych brzegach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– złoty dzwonek i owoc granatu, złoty dzwonek i owoc granatu na dolnych brzegach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wokół dolnego skraju ornatu.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będzie złoty dzwoneczek i jabłko granatu, i znowu złoty dzwoneczek i jabłko granatu, i tak wokoło meilu u samego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[Naprzemiennie] złoty dzwonek i granat, złoty dzwonek i granat na brzegach sukni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золотім ґранатовім яблуку дзвінок і цвіток на рубці одежі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przemian, na skrajach płaszcza, wokoło, złoty dzwonek oraz jabłuszko granatu.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dzwoneczek i jabłko granatu, złoty dzwoneczek i jabłko granatu dookoła na brzegu płaszcza bez rękawów.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nie wspomina o rękawach.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2024-04-26T08:48:05Z</dcterms:modified>
</cp:coreProperties>
</file>