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przeciwległej, czyli z jednej i z drugiej strony bramy dziedzińca, zasłony też rozciągały się na piętnaście łokci i zawieszone były na trzech słupach, stojących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drugiej stronie bramy dziedzińca, z jednej i z drugiej strony, piętnaście łokci zasłon,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stronie, stąd i zowąd u bramy sieni, opon piętnaście łokci, słupów do nich trzy, także 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(bo między obiema uczynił wchodzenie do przybytku) były takież opony na piętnaście łokci, i trzy słupy, i tak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zaś na drugą ścianę boczną miały piętnaście łokci, a do tego miały też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stronę, po obu stronach bramy dziedzińca, zasłony też miały piętnaście łokci,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po drugiej stronie, po obu stronach bramy,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- aż do wejścia na dziedziniec - podobnie: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i drugiej [strony] bramy dziedzińca - na drugim odcinku tkaniny [miały długość] piętnaście ama, ich słupów [było] trzy i ich podstaw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рамен галузки, що виходять, три з цього і три з цього, рівні одні одним.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drugiego skrzydła, na drugiej stronie wrót dziedzińca piętnaście łokci osłon, trzy ich słupy oraz 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drugim skrzydle bramy dziedzińca – po tej i po tamtej stronie – zasłony miały piętnaście łokci.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2024-03-29T15:15:52Z</dcterms:modified>
</cp:coreProperties>
</file>