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znałem własnej duszy! Posadziła mnie w rydwanach księcia mojego ludu!*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Inne możliwości odczytu: (1) Nie wiedziałem! Moja dusza (l. pragnienie) sprowadziła mi rydwany mego ludu – księcia (l. Aminadaba). (2) Nie znałem mojej duszy – umieściła mnie w rydwanach Aminadaba. Być może: Nie znałem (l. nie rozpoznawałem) mojej duszy, to idiom opisujący stan uniesienia pozytywnego lub negatywnego, tj.: nie rozumiałem siebie, własnej duszy, wnętrza, nie wiedziałem, co się ze mną dzieje. Znany jest ak. odpowiednik tego wyr., &lt;x&gt;260 6:12&lt;/x&gt; L; por. &lt;x&gt;220 9:2&lt;/x&gt;, 1: </w:t>
      </w:r>
      <w:r>
        <w:rPr>
          <w:rtl/>
        </w:rPr>
        <w:t>נַפְׁשִי לֹא־אֵדַע</w:t>
      </w:r>
      <w:r>
        <w:rPr>
          <w:rtl w:val="0"/>
        </w:rPr>
        <w:t xml:space="preserve"> , oraz: Prz 1 9:2: ּ</w:t>
      </w:r>
      <w:r>
        <w:rPr>
          <w:rtl/>
        </w:rPr>
        <w:t>גַםּבְלֹא־דַעַת נֶפֶׁש לֹא־טֹוב</w:t>
      </w:r>
      <w:r>
        <w:rPr>
          <w:rtl w:val="0"/>
        </w:rPr>
        <w:t xml:space="preserve"> . Warta refleksji jest rewok. wyrażenia: sprawiła mi rydwany mego ludu – księcia, </w:t>
      </w:r>
      <w:r>
        <w:rPr>
          <w:rtl/>
        </w:rPr>
        <w:t>עַּמִי־נָדִיב ־ ׂשָמַתְנִי מַרְ ּכְבֹות</w:t>
      </w:r>
      <w:r>
        <w:rPr>
          <w:rtl w:val="0"/>
        </w:rPr>
        <w:t xml:space="preserve"> , na: </w:t>
      </w:r>
      <w:r>
        <w:rPr>
          <w:rtl/>
        </w:rPr>
        <w:t>עַּמִי־נָדִיב ּבַת מֹרְֶך ּתֵנִי ׁשָם</w:t>
      </w:r>
      <w:r>
        <w:rPr>
          <w:rtl w:val="0"/>
        </w:rPr>
        <w:t xml:space="preserve"> , czyli: Tam daj mi swoją mirrę, córko księcia mego ludu; odpowiada ona dodatkowi zaświadczonemu w G. Mirra może być metaf. jej miłości do niego (zob. &lt;x&gt;260 4:6&lt;/x&gt;, 14;&lt;x&gt;260 5:1&lt;/x&gt;, 5, 13). ּ</w:t>
      </w:r>
      <w:r>
        <w:rPr>
          <w:rtl/>
        </w:rPr>
        <w:t>בַת עַּמִי־נָדִיב</w:t>
      </w:r>
      <w:r>
        <w:rPr>
          <w:rtl w:val="0"/>
        </w:rPr>
        <w:t xml:space="preserve"> koresponduje z wyrażeniem ּ</w:t>
      </w:r>
      <w:r>
        <w:rPr>
          <w:rtl/>
        </w:rPr>
        <w:t>בַת־נָדִיב</w:t>
      </w:r>
      <w:r>
        <w:rPr>
          <w:rtl w:val="0"/>
        </w:rPr>
        <w:t xml:space="preserve"> w &lt;x&gt;260 7:2&lt;/x&gt;. Podział taki, jeśli przyjąć go w &lt;x&gt;260 6:11-12&lt;/x&gt;, koresponduje także z &lt;x&gt;260 7:12-14&lt;/x&gt;. Co do </w:t>
      </w:r>
      <w:r>
        <w:rPr>
          <w:rtl/>
        </w:rPr>
        <w:t>עַּמִי־נָדִיב</w:t>
      </w:r>
      <w:r>
        <w:rPr>
          <w:rtl w:val="0"/>
        </w:rPr>
        <w:t xml:space="preserve"> , niektóre mss wok. je jako </w:t>
      </w:r>
      <w:r>
        <w:rPr>
          <w:rtl/>
        </w:rPr>
        <w:t>עַּמִינָדָב</w:t>
      </w:r>
      <w:r>
        <w:rPr>
          <w:rtl w:val="0"/>
        </w:rPr>
        <w:t xml:space="preserve"> (‘amminadaw), czyli: Aminadab (zob. G: Αμιναδαβ, Aminadab, pod. Vg). Skutkowałoby to tłum.: Tam daj mi swoją mirrę, córko Aminadaba.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2024-04-28T17:13:12Z</dcterms:modified>
</cp:coreProperties>
</file>