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na niej pokłosie; jak przy otrząsaniu oliwnika: dwie lub trzy oliwki na czubku wierzchołka, cztery lub pięć na jej owocujących gałęziach* – oświadczenie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jej owocujących gałęziach, ּ</w:t>
      </w:r>
      <w:r>
        <w:rPr>
          <w:rtl/>
        </w:rPr>
        <w:t>פֹרִּיָהּבִסְעִפֶיהָ</w:t>
      </w:r>
      <w:r>
        <w:rPr>
          <w:rtl w:val="0"/>
        </w:rPr>
        <w:t xml:space="preserve"> (bis‘ifeha porijja h): wg 1QIsa a : </w:t>
      </w:r>
      <w:r>
        <w:rPr>
          <w:rtl/>
        </w:rPr>
        <w:t>פריה בסעפי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2024-05-20T10:44:29Z</dcterms:modified>
</cp:coreProperties>
</file>