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będzie wybawiony, a Jerozolima będzie cieszyć się bezpieczeństwem. A oto, jak będą ją nazywać: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Juda będzie zbawiona, a Jerozolima będzie mieszkać bezpiecznie.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którym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 dni będzie zbawiony Juda, a Jeruzalem bezpiecznie mieszkać będzie. A toć jest imię, którem ją nazowią: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będzie zbawion Juda i Jeruzalem mieszkać będzie bezpiecznie, a to jest imię, którym go nazową: JAHWE sprawiedliwy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dostąpi zbawienia, a Jerozolima będzie trwać bezpiecznie. To zaś jest imię, którym ją będą nazywać: Pan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będzie wybawiony, a Jeruzalem będzie bezpiecznie mieszkać. Oto imię, którym je będą nazywać: Pan sprawiedliwość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Juda zostanie zbawiony, a Jerozolima zamieszka bezpiecznie. W ten sposób będą ją nazywać: JAHWE naszą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panowania Juda dostąpi zbawienia, a Jerozolima będzie bezpieczna. Będą go nazywać: «PAN naszą sprawiedliwością».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wybawiony będzie Juda i Jeruzalem mieszkać będzie bezpiecznie, a tak oto będzie nazwane: ”Jahwe naszą Sprawiedliwością!”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Juda będzie zbawiony, a Jeruszalaim spocznie bezpiecznie; a tak go będą nazywać: WIEKUISTY Naszą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Juda zostanie wybawiona i Jerozolima będzie mieszkać bezpiecznie. I będzie nazywana: ”JAHWE naszą prawością”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2024-04-27T20:09:36Z</dcterms:modified>
</cp:coreProperties>
</file>