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pierwszym rydwanie były konie czerwone, a przy drugim rydwanie konie kare.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rydwan zaprzężony był w konie czerwone, drugi w konie kare.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pierwszym rydwanie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konie rude, przy drugim rydwanie — konie kare;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wozie były konie rydze, a w drugim wozie konie wrone (kare):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poczwórnym konie rydze, a we wtórym poczwórnym konie wrone,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rydwan ciągnęły konie kasztanowate, drugi rydwan - konie kare,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wozie były konie kasztanowe, a w drugim wozie były konie kare.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wóz ciągnęły konie kasztanowate, a drugi czarne.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pierwszego rydwanu były zaprzęgnięte konie gniade, do drugiego rydwanu - konie kare,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wóz miał konie gniade, drugi wóz - konie karę,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першій колісниці рижі коні, і в другій колісниці чорні коні,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pierwszego rydwanu były konie ryże, a u drugiego rydwanu konie czarnej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pierwszym rydwanie konie czerwone, a przy drugim rydwanie konie czarne.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2024-04-28T10:34:17Z</dcterms:modified>
</cp:coreProperties>
</file>