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(znów) złoty dzwoneczek i jabłuszko granatu będą na dolnych brzegach płaszcza dookoła.*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złoty dzwoneczek będzie pomiędzy każdym jabłuszkiem granatu na całym obwodzie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dzwonek i jabłko granatu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dzwonek i jabłko granatu, dokoła dolnego brzegu ornatu.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a jabłko granatowe; i zaś dzwonek złoty i jabłko granatowe u podołka płaszcza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żeby dzwoneczek był złoty a malogranat, i zasię drugi dzwoneczek złoty i malogranat.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i jabłko granatu będą następowały na przemian dokoła na dolnych brzegach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znowu złoty dzwoneczek i jabłuszko granatu będą dokoła na dolnych brzegach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 – złoty dzwonek i owoc granatu, złoty dzwonek i owoc granatu na dolnych brzegach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złoty dzwoneczek, raz owoc granatu, i tak dalej, wokół dolnego skraju ornatu.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będzie złoty dzwoneczek i jabłko granatu, i znowu złoty dzwoneczek i jabłko granatu, i tak wokoło meilu u samego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[Naprzemiennie] złoty dzwonek i granat, złoty dzwonek i granat na brzegach sukni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золотім ґранатовім яблуку дзвінок і цвіток на рубці одежі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przemian, na skrajach płaszcza, wokoło, złoty dzwonek oraz jabłuszko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jabłko granatu, złoty dzwoneczek i jabłko granatu dookoła na brzegu płaszcza bez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nie wspomina o rękawach.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2024-05-20T00:06:30Z</dcterms:modified>
</cp:coreProperties>
</file>