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zewnętrznego bramy prowadzącej na kolejny dziedziniec —dziedziniec wewnętrzny. Wynosiła ona 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łokci, zarówno w kierunku wschodnim, jak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odległość od fasady bramy dolnej do fasady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dziedzińca wewnętrznego z zewnątrz: sto łokci w kierunku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także szerokość od przodku bramy niższej aż do przodku sieni wewnętrznej z dworu na sto łokci ku wschodowi i 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szerokość od oblicza bramy niższej, aż do czoła sieni wnętrznej z nadworza, sto łokiet na Wschód i 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aż do przedniej strony dziedzińca wewnętrznego, [idąc] od zewnątrz: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wewnętrznej strony bramy dolnej do zewnętrznej strony bramy wewnętrznej: wynosiła ona sto łokci. Potem zaprowadził mnie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od fasady bramy niższej do fasady dziedzińca wewnętrznego na zewnątrz. Było sto łokci szerokości od wschodu i 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odległość od fasady bramy dolnej do dziedzińca wewnętrznego. Od strony zewnętrznej wynosiła ona sto łokci. To było od strony wschodniej. Co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[dziedzińca]. Od fasady bramy niższej do fasady [bramy] dziedzińca wewnętrznego na zewnątrz było sto łokci [w kierunku]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odległość od frontu bramy dolnej – do frontu wewnętrznego dziedzińca, z zewnątrz; po stronie wschodniej i północnej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do przedniej strony dziedzińca wewnętrznego. Na zewnątrz było sto łokci ku wschodowi i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2024-05-21T10:19:45Z</dcterms:modified>
</cp:coreProperties>
</file>