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nią okrycie z garbowanych skór,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rozciągną nad nią od góry pokrowiec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wykonany z fioletu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położą na niej przykrycie ze skór borsuczych i na tym rozciągną nakrycie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włożą na nię przykrycie z borsukowych skór, i przykryją z wierzchu wszystko oponą hijacyntową, i założą drążki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okryją zaś przykryciem z skór fiołkowej farby, i rozciągną na wierzchu przykrycie wszytko z hiacyntu,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pokrowiec ze skóry delfinów, a na tym rozciągną tkaninę całą z fioletowej purpury, wreszcie złożą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niej okrycie ze skór borsuczych, a na nim rozciągną sukno z błękitnej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ze skóry borsuków, a na tym rozciągną narzutę całą z fioletowej purpury. Wreszcie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tym okrycie ze skóry borsuczej, następnie tkaninę z fioletowej purpury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nią pokrowiec ze skóry borsuczej, a od góry rozciągną nakrycie, całe z ciemnej purpury, po czym założą też drążki [do niesienia]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Położą na niej przykrycie ze skór wielobarwnych i rozciągną nad nim pokrowiec, cały z czystej niebieskiej [wełny]. Wtedy 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шкіряне синє покривало, і покладуть на нього зверху одіж всю синю, і вкладуть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na nią pokrowiec z borsuczej skóry, z wierzchu rozciągną całą z błękitu zasłonę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nią nakrycie ze skór foczych, a na wierzchu rozciągną całą niebieską tkaninę, i założą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2024-05-17T13:54:19Z</dcterms:modified>
</cp:coreProperties>
</file>