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2024-04-25T12:13:43Z</dcterms:modified>
</cp:coreProperties>
</file>