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2024-04-19T05:55:19Z</dcterms:modified>
</cp:coreProperties>
</file>