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14"/>
        <w:gridCol w:w="59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 pozostali ― ludzie, </w:t>
            </w:r>
            <w:r>
              <w:rPr>
                <w:rFonts w:ascii="Times New Roman" w:eastAsia="Times New Roman" w:hAnsi="Times New Roman" w:cs="Times New Roman"/>
                <w:noProof w:val="0"/>
                <w:color w:val="A9A9A9"/>
                <w:sz w:val="24"/>
              </w:rPr>
              <w:t>[którzy]</w:t>
            </w:r>
            <w:r>
              <w:rPr>
                <w:rFonts w:ascii="Times New Roman" w:eastAsia="Times New Roman" w:hAnsi="Times New Roman" w:cs="Times New Roman"/>
                <w:noProof w:val="0"/>
                <w:sz w:val="24"/>
              </w:rPr>
              <w:t xml:space="preserve"> nie zostali zabici w ― ciosach tamtych, ani zmienili myślenia, od ― dzieł ― rąk ich, aby nie kłaniali się ― demonom i ― wizerunkom ― złotym i ― srebrnym i ― z brązu i ― kamiennym i ― drewnianym, </w:t>
            </w:r>
            <w:r>
              <w:rPr>
                <w:rFonts w:ascii="Times New Roman" w:eastAsia="Times New Roman" w:hAnsi="Times New Roman" w:cs="Times New Roman"/>
                <w:noProof w:val="0"/>
                <w:color w:val="A9A9A9"/>
                <w:sz w:val="24"/>
              </w:rPr>
              <w:t>[które]</w:t>
            </w:r>
            <w:r>
              <w:rPr>
                <w:rFonts w:ascii="Times New Roman" w:eastAsia="Times New Roman" w:hAnsi="Times New Roman" w:cs="Times New Roman"/>
                <w:noProof w:val="0"/>
                <w:sz w:val="24"/>
              </w:rPr>
              <w:t xml:space="preserve"> ani nie widzieć są w stanie, ani słuchać, ani chodzić,</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ludzie, którzy nie zostali zabici przez te klęski, nie opamiętali się* (i nie skończyli) z czynami swoich rąk,** tak by już nie kłaniać się demonom*** **** oraz bożkom złotym, srebrnym, miedzianym i drewnianym,***** które nie są w stanie ani widzieć, ani słyszeć, ani chodzić,******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pozostali (z) ludzi, którzy nie zostali zabici w uderzeniach tych, ani nie zmienili myślenia od dzieł rąk ich, żeby nie kłaniali się demonom i wizerunkom złotym i srebrnym i spiżowym* i kamiennym i drewnianym, które ani patrzeć mogą, ani słuchać, ani chodzić,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pozostali ludzie, ci, którzy nie zostali zabici przez wymienione klęski, nie opamiętali się. Nie zaprzestali popełniania zła, to znaczy nadal oddawali cześć demonom oraz złotym, srebrnym, miedzianym i drewnianym bożkom, które nie widzą, nie słyszą i nie chodzą.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pozostali ludzie, którzy nie zostali zabici przez te plagi, nie pokutowali od uczynków swoich rąk, tak by nie oddawać pokłonu demonom i bożkom złotym, srebrnym, miedzianym, kamiennym i drewnianym, które nie mogą ani widzieć, ani słyszeć, ani chodzić.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inni ludzie, którzy nie są pobici temi plagami, ani pokutowali od uczynków rąk swoich, aby się nie kłaniali dyjabłom i bałwanom złotym i srebrnym, i miedzianym, i kamiennym i drewnianym, którzy ani widzieć nie mogą, ani słyszeć, ani chodzić;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inni ludzie, którzy nie są pobici tymi plagami ani pokutowali za uczynki rąk swoich, aby się nie kłaniali czartom i bałwanom złotym, i srebrnym, i miedzianym, i kamiennym, i drzewianym, którzy ani widzieć mogą, ani słyszeć, ani chodzić,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pozostali ludzie, nie zabici przez te plagi, nie odwrócili się od dzieł swoich rąk, tak by nie wielbić [już] demonów ani bożków złotych, srebrnych, spiżowych, kamiennych, drewnianych, które nie mogą ni widzieć, ni słyszeć, ni chodzić.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uczynków rąk swoich, nie przestając oddawać czci demonom oraz bałwanom złotym i srebrnym, i spiżowym, i kamiennym, i drewnianym, które nie mogą ani widzieć, ani słyszeć, ani chodzić,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pozostali ludzie, którzy nie zostali zabici przez te plagi, nie odwrócili się od dzieł swoich rąk, tak by nie oddawać czci demonom i złotym, srebrnym, spiżowym, kamiennym i drewnianym bożkom, które nie mogą ani patrzeć, ani słyszeć, ani chodzić.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dzieł swoich rąk. Nie przestali oddawać pokłonu demonom oraz złotym, srebrnym, miedzianym, kamiennym i drewnianym bożkom, co nie potrafią ani widzieć, ani słyszeć, ani chodzić.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jednak reszta ludzi, którzy nie zginęli z powodu tych plag, nie odwróciła się od wytworów swoich rąk, by się już nie kłaniać demonom i idolom, czy to złotym, czy srebrnym, czy brązowym, czy kamiennym, czy drewnianym, które ani widzieć nie mogą, ani słyszeć, ani chodzić;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Reszta ludzi, która nie wyginęła od tych plag, nie wyrzekła się bynajmniej swoich czynów; ci ludzie nie przestali hołdować demonom i bóstwom ze złota, srebra, brązu, kamienia bądź drewna, które nie słyszą, nie widzą ani nie mogą się poruszać.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Pozostali zaś ludzie - nie zabici przez te plagi - nie zerwali z dziełami swoich rąk, nie zaprzestali (też) wielbić demonów ani bożków złotych, srebrnych, spiżowych, kamiennych, drewnianych, które nie mogą widzieć ani słyszeć, ani chodzić.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решта людей, які не були вбиті цими карами, не покаялися за діла своїх рук, щоб не кланятися демонам, ні золотим ідолам, ні срібним, ні мідним, ні кам'яним, ні які ані бачити не можуть, ані чути, ані ходити.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pozostali z ludzi, którzy nie zostali zabici przez te ciosy nie skruszyli się z powodu uczynków swoich rąk, by nie oddawać pokłonu demonom i wizerunkom złotym, srebrnym, miedzianym, kamiennym i drewnianym które nie mogą widzieć, ani słuchać, ani chodzić.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Reszta ludzkości, ci, którzy nie zginęli od tych plag, nawet wtedy nie odwróciła się od tego, co uczyniła własnymi rękami - nie przestali czcić demonów i bożków ze złota, srebra, brązu, kamienia i drewna, którzy nie widzą ani nie słyszą, ani nie chodzą.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pozostali ludzie, których te plagi nie zabiły, nie okazali skruchy za dzieła swych rąk, tak by już nie oddawać czci demonom ani bożkom ze złota i srebra, i miedzi, i kamienia, i drewna, które nie mogą ani widzieć, ani słyszeć, ani chodzić: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Ludzie, którzy przeżyli te ataki, nie opamiętali się jednak i nie przestali czynić zła. Nadal oddawali cześć demonom oraz otaczali czcią złote, srebrne, brązowe, kamienne oraz drewniane posągi, które nie widzą, nie słyszą ani nie mogą się poruszać.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&lt;x&gt;730 2:21&lt;/x&gt;; &lt;x&gt;730 16:9&lt;/x&gt;</w:t>
      </w:r>
    </w:p>
  </w:footnote>
  <w:footnote w:id="3">
    <w:p>
      <w:pPr>
        <w:pStyle w:val="FootnoteText"/>
      </w:pPr>
      <w:r>
        <w:rPr>
          <w:rStyle w:val="FootnoteReference"/>
        </w:rPr>
        <w:t>2)</w:t>
      </w:r>
      <w:r>
        <w:t xml:space="preserve"> </w:t>
      </w:r>
      <w:r>
        <w:t>&lt;x&gt;50 4:28&lt;/x&gt;; &lt;x&gt;300 1:16&lt;/x&gt;; &lt;x&gt;400 5:12&lt;/x&gt;; &lt;x&gt;510 7:41&lt;/x&gt;</w:t>
      </w:r>
    </w:p>
  </w:footnote>
  <w:footnote w:id="4">
    <w:p>
      <w:pPr>
        <w:pStyle w:val="FootnoteText"/>
      </w:pPr>
      <w:r>
        <w:rPr>
          <w:rStyle w:val="FootnoteReference"/>
        </w:rPr>
        <w:t>3)</w:t>
      </w:r>
      <w:r>
        <w:t xml:space="preserve"> </w:t>
      </w:r>
      <w:r>
        <w:t>Demony: istoty sprzymierzone z szatanem i oddziałujące na ludzi w jego interesie (&lt;x&gt;50 4:18&lt;/x&gt;; &lt;x&gt;230 115:5-7&lt;/x&gt;; &lt;x&gt;530 10:20&lt;/x&gt;).</w:t>
      </w:r>
    </w:p>
  </w:footnote>
  <w:footnote w:id="5">
    <w:p>
      <w:pPr>
        <w:pStyle w:val="FootnoteText"/>
      </w:pPr>
      <w:r>
        <w:rPr>
          <w:rStyle w:val="FootnoteReference"/>
        </w:rPr>
        <w:t>4)</w:t>
      </w:r>
      <w:r>
        <w:t xml:space="preserve"> </w:t>
      </w:r>
      <w:r>
        <w:t>&lt;x&gt;50 32:17&lt;/x&gt;; &lt;x&gt;530 10:19-20&lt;/x&gt;</w:t>
      </w:r>
    </w:p>
  </w:footnote>
  <w:footnote w:id="6">
    <w:p>
      <w:pPr>
        <w:pStyle w:val="FootnoteText"/>
      </w:pPr>
      <w:r>
        <w:rPr>
          <w:rStyle w:val="FootnoteReference"/>
        </w:rPr>
        <w:t>5)</w:t>
      </w:r>
      <w:r>
        <w:t xml:space="preserve"> </w:t>
      </w:r>
      <w:r>
        <w:t>&lt;x&gt;290 2:8&lt;/x&gt;; &lt;x&gt;340 5:4&lt;/x&gt;</w:t>
      </w:r>
    </w:p>
  </w:footnote>
  <w:footnote w:id="7">
    <w:p>
      <w:pPr>
        <w:pStyle w:val="FootnoteText"/>
      </w:pPr>
      <w:r>
        <w:rPr>
          <w:rStyle w:val="FootnoteReference"/>
        </w:rPr>
        <w:t>6)</w:t>
      </w:r>
      <w:r>
        <w:t xml:space="preserve"> </w:t>
      </w:r>
      <w:r>
        <w:t>&lt;x&gt;230 115:4-7&lt;/x&gt;; &lt;x&gt;230 135:15-17&lt;/x&gt;; &lt;x&gt;340 5:23&lt;/x&gt;</w:t>
      </w:r>
    </w:p>
  </w:footnote>
  <w:footnote w:id="8">
    <w:p>
      <w:pPr>
        <w:pStyle w:val="FootnoteText"/>
      </w:pPr>
      <w:r>
        <w:rPr>
          <w:rStyle w:val="FootnoteReference"/>
        </w:rPr>
        <w:t>7)</w:t>
      </w:r>
      <w:r>
        <w:t xml:space="preserve"> </w:t>
      </w:r>
      <w:r>
        <w:t>Miedzianym.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2024-04-25T23:10:49Z</dcterms:modified>
</cp:coreProperties>
</file>