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Zaprawdę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Zaprawdę mówię tobie: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Zaprawdę,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„Zapewniam cię: Dzisiaj ze Mną będziesz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ci, dziś będziesz ze mną w raju”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 dziś,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Zaprawdę powiadam ci, jeszcze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сьогодні зі мною будеш у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Istotne tobie powiadam: dzisiaj(:) wspólnie ze mną będziesz w tym wiadomym 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Zaprawdę,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"Tak! Obiecuję, że będziesz ze mną dziś w Gan-'Eden".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”Zaprawdę mówię ci dzisiaj: Będziesz ze mną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dziś będziesz ze Mną w raju—odrzekł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2024-04-30T03:33:43Z</dcterms:modified>
</cp:coreProperties>
</file>